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Ainsworth, S., &amp; Oldfield, J. (2019). Quantifying teacher resilience: Context matters.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Teaching and Teacher Education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82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117–128. https://doi.org/10.1016/j.tate.2019.03.012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Balthazard, P. A., Cooke, R. A., &amp; Potter, R. E. (2006). Dysfunctional culture, dysfunctional organization: Capturing the behavioral norms that form organizational culture and drive performance.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Journal of Managerial Psychology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(8), 709–732. https://doi.org/10.1108/02683940610713253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Béteille, T., Kalogrides, D., &amp; Loeb, S. (2012). Stepping stones: Principal career paths and school outcomes.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Social Science Research,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904–916.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Cansoy, R., &amp; Parlar, H. (2017). Examining the relationship between school culture and teacher leadership.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International Online Journal of Educational Sciences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 https://doi.org/10.15345/iojes.2017.02.001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Carnevale, A. P., Fasules, M. L., Quinn, M. C., &amp; Campbell, K. P. (2019).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Born to Win, Schooled to Lose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 59.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highlight w:val="yellow"/>
          <w:rtl w:val="0"/>
        </w:rPr>
        <w:t xml:space="preserve">Elmore, D. R. F., Forman, M. L., &amp; Stosich, E. L. (2010a).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highlight w:val="yellow"/>
          <w:rtl w:val="0"/>
        </w:rPr>
        <w:t xml:space="preserve">Internal Coherence Survey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highlight w:val="yellow"/>
          <w:rtl w:val="0"/>
        </w:rPr>
        <w:t xml:space="preserve">. 7.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Fullan, M. (2002). Principals as leaders in a culture of change.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Educational Leadership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 Retrieved from http://michaelfullan.ca/wp-content/uploads/2016/06/13396053050.pdf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Fullan, M., &amp; Quinn, J. (2016).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Coherence: The right drivers in action for schools, districts and systems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 Thousand Oaks, CA: Corwin, A Sage Publishing Company. Re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Hartmann, J., &amp; Khademian, A. M. 2. (2010). Culture Change Refined and Revitalized: The Road Show and Guides for Pragmatic Action.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Public Administration Review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(6), 845–856. eft. Retrieved from eft.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Hoy, W. K., Tarter, T. C. J., &amp; Bliss, J. R. (2015). Effects of administrative climate and interpersonal climate in university on teacher mental health.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Educational Administration Quarterly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 Retrieved from https://www.scirp.org/html/12-6901514_57534.htm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Kaplan, L. S., &amp; Owings, W. A. (2013).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Culture Re-Boot: Reinvigorating School Culture 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 Improve Student Outcomes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 Thousand Oaks, CA.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highlight w:val="yellow"/>
          <w:rtl w:val="0"/>
        </w:rPr>
        <w:t xml:space="preserve">Kools, M., Stoll, L., George, B., Steijn, B., Bekkers, V., &amp; Gouëdard, P. (2020). The school as a learning organisation: The concept and its measurement.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highlight w:val="yellow"/>
          <w:rtl w:val="0"/>
        </w:rPr>
        <w:t xml:space="preserve">European Journal of Education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highlight w:val="yellow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highlight w:val="yellow"/>
          <w:rtl w:val="0"/>
        </w:rPr>
        <w:t xml:space="preserve">55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highlight w:val="yellow"/>
          <w:rtl w:val="0"/>
        </w:rPr>
        <w:t xml:space="preserve">(1), 24–42.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mallCaps w:val="0"/>
            <w:color w:val="1155cc"/>
            <w:sz w:val="24"/>
            <w:szCs w:val="24"/>
            <w:highlight w:val="yellow"/>
            <w:u w:val="single"/>
            <w:rtl w:val="0"/>
          </w:rPr>
          <w:t xml:space="preserve">https://doi.org/10.1111/ejed.12383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Liang, J. “Grace,” Mitchell, T., &amp; Scott, J. (2020). Statewide School Redesign: Integrating Design Thinking and the Four Disciplines of Execution as a Continuous School Improvement Process.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Case Studies in Educational Leadership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(13). Retrieved from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https://journals.sagepub.com/doi/10.1177/1555458920975462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0" w:firstLine="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Rogers, E. M. (1962).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Diffusion of Innovations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(Fifth Edition). New York: Free Press of Glencoe.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Rouleau, K. (2018).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Curiosity Works: Moving your school from improvement to innovation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 McREL International.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Schwartz, M. F. (2015).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Competencies for the 21st century: Teaching an understanding of others, critical thinking, leadership, and a sense of obligation: Perceptions of educational leaders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 ProQuest LLC.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Seeking an Understanding of School Culture: Using Theory as a Framework for Observation and Analysis. (2006). In V. Anfara &amp; N. Mertz,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Theoretical Frameworks in Qualitative Research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(pp. 2–22). 2455 Teller Road, Thousand Oaks California 91320 United States of America: SAGE Publications, Inc. https://doi.org/10.4135/9781412986335.n1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720" w:hanging="72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Teasley, M. L. (2017). Organizational culture and schools: A call for leadership and collaboration.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Children &amp; Schools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39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(1), 3–6. https://doi.org/10.1093/cs/cdw048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111/ejed.12383" TargetMode="External"/><Relationship Id="rId8" Type="http://schemas.openxmlformats.org/officeDocument/2006/relationships/hyperlink" Target="https://journals.sagepub.com/doi/10.1177/1555458920975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5CHWQGB5SWMKqFoqhNV/+UBHA==">AMUW2mXRyt1QDtZmrtNoFyDwhCcwgtBQXCesI6jo+EAmjYICpaJARwLIbph/xDGggc0+7ijZSHPWWBeMolQHh0t+tH73i/1rFcpd0X4HuvdCDK7nSbMJLvU=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